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7A1D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hd w:val="clear" w:fill="FFFFFF"/>
        </w:rPr>
        <w:t>关于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hd w:val="clear" w:fill="FFFFFF"/>
          <w:lang w:val="en-US" w:eastAsia="zh-CN"/>
        </w:rPr>
        <w:t>细胞衰老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hd w:val="clear" w:fill="FFFFFF"/>
        </w:rPr>
        <w:t>检测试剂盒的比较和选择</w:t>
      </w:r>
    </w:p>
    <w:p w14:paraId="0C05030B">
      <w:pP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shd w:val="clear" w:fill="FFFFFF"/>
        </w:rPr>
        <w:t>不同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shd w:val="clear" w:fill="FFFFFF"/>
          <w:lang w:val="en-US" w:eastAsia="zh-CN"/>
        </w:rPr>
        <w:t>细胞衰老</w:t>
      </w:r>
      <w: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shd w:val="clear" w:fill="FFFFFF"/>
        </w:rPr>
        <w:t>检测试剂盒的比较和选择可以参考下表：</w:t>
      </w:r>
    </w:p>
    <w:p w14:paraId="30EAA88E">
      <w:pP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shd w:val="clear" w:fill="FFFFFF"/>
        </w:rPr>
      </w:pP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3210"/>
        <w:gridCol w:w="3255"/>
      </w:tblGrid>
      <w:tr w14:paraId="43BD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516" w:type="dxa"/>
          </w:tcPr>
          <w:p w14:paraId="162B0729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对比维度</w:t>
            </w:r>
          </w:p>
        </w:tc>
        <w:tc>
          <w:tcPr>
            <w:tcW w:w="3210" w:type="dxa"/>
          </w:tcPr>
          <w:p w14:paraId="0DE4BD25">
            <w:pPr>
              <w:rPr>
                <w:vertAlign w:val="baseline"/>
              </w:rPr>
            </w:pPr>
            <w:r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2563EB"/>
                <w:spacing w:val="4"/>
                <w:sz w:val="22"/>
                <w:szCs w:val="22"/>
              </w:rPr>
              <w:t>KTA3030</w:t>
            </w:r>
            <w:r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2563EB"/>
                <w:spacing w:val="4"/>
                <w:sz w:val="22"/>
                <w:szCs w:val="22"/>
              </w:rPr>
              <w:br w:type="textWrapping"/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细胞衰老检测试剂盒（β-半乳糖苷酶法）</w:t>
            </w:r>
          </w:p>
        </w:tc>
        <w:tc>
          <w:tcPr>
            <w:tcW w:w="3255" w:type="dxa"/>
          </w:tcPr>
          <w:p w14:paraId="707CAD3B">
            <w:pPr>
              <w:rPr>
                <w:vertAlign w:val="baseline"/>
              </w:rPr>
            </w:pPr>
            <w:r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D9488"/>
                <w:spacing w:val="4"/>
                <w:sz w:val="22"/>
                <w:szCs w:val="22"/>
              </w:rPr>
              <w:t>KTA3031</w:t>
            </w:r>
            <w:r>
              <w:rPr>
                <w:rStyle w:val="7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D9488"/>
                <w:spacing w:val="4"/>
                <w:sz w:val="22"/>
                <w:szCs w:val="22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即用型细胞衰老检测试剂盒（β-半乳糖苷酶法）</w:t>
            </w:r>
          </w:p>
        </w:tc>
      </w:tr>
      <w:tr w14:paraId="0402A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1516" w:type="dxa"/>
          </w:tcPr>
          <w:p w14:paraId="6E15F8A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检测原理</w:t>
            </w:r>
          </w:p>
        </w:tc>
        <w:tc>
          <w:tcPr>
            <w:tcW w:w="3210" w:type="dxa"/>
          </w:tcPr>
          <w:p w14:paraId="62E4E2C3">
            <w:pPr>
              <w:rPr>
                <w:vertAlign w:val="baseline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X-Gal 为底物，pH 6.0 条件下衰老特异性 β-半乳糖苷酶催化生成深蓝色产物，光学显微镜下观察计数</w:t>
            </w:r>
          </w:p>
        </w:tc>
        <w:tc>
          <w:tcPr>
            <w:tcW w:w="3255" w:type="dxa"/>
          </w:tcPr>
          <w:p w14:paraId="1468FD46">
            <w:pPr>
              <w:rPr>
                <w:rFonts w:hint="default" w:ascii="Segoe UI" w:hAnsi="Segoe UI" w:eastAsia="宋体" w:cs="Segoe UI"/>
                <w:i w:val="0"/>
                <w:iCs w:val="0"/>
                <w:caps w:val="0"/>
                <w:color w:val="4B5563"/>
                <w:spacing w:val="0"/>
                <w:sz w:val="20"/>
                <w:szCs w:val="20"/>
                <w:shd w:val="clear" w:fill="FCFD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  <w:lang w:val="en-US" w:eastAsia="zh-CN"/>
              </w:rPr>
              <w:t>与KTA3030相同</w:t>
            </w:r>
          </w:p>
        </w:tc>
      </w:tr>
      <w:tr w14:paraId="4131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516" w:type="dxa"/>
          </w:tcPr>
          <w:p w14:paraId="3F799FE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适用样本</w:t>
            </w:r>
          </w:p>
        </w:tc>
        <w:tc>
          <w:tcPr>
            <w:tcW w:w="3210" w:type="dxa"/>
          </w:tcPr>
          <w:p w14:paraId="0989D235">
            <w:pPr>
              <w:rPr>
                <w:vertAlign w:val="baseline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  <w:lang w:val="en-US" w:eastAsia="zh-CN"/>
              </w:rPr>
              <w:t>培养细胞（贴壁 / 悬浮）、组织冰冻切片</w:t>
            </w:r>
          </w:p>
        </w:tc>
        <w:tc>
          <w:tcPr>
            <w:tcW w:w="3255" w:type="dxa"/>
          </w:tcPr>
          <w:p w14:paraId="7191CDCE">
            <w:pPr>
              <w:rPr>
                <w:rFonts w:ascii="Segoe UI" w:hAnsi="Segoe UI" w:eastAsia="Segoe UI" w:cs="Segoe UI"/>
                <w:i w:val="0"/>
                <w:iCs w:val="0"/>
                <w:caps w:val="0"/>
                <w:color w:val="4B5563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  <w:lang w:val="en-US" w:eastAsia="zh-CN"/>
              </w:rPr>
              <w:t>与KTA3030相同</w:t>
            </w:r>
          </w:p>
        </w:tc>
      </w:tr>
      <w:tr w14:paraId="1F95B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</w:trPr>
        <w:tc>
          <w:tcPr>
            <w:tcW w:w="1516" w:type="dxa"/>
          </w:tcPr>
          <w:p w14:paraId="4FB8D1C9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包装组分</w:t>
            </w:r>
          </w:p>
        </w:tc>
        <w:tc>
          <w:tcPr>
            <w:tcW w:w="3210" w:type="dxa"/>
          </w:tcPr>
          <w:p w14:paraId="68F7444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</w:pP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2563EB"/>
                <w:spacing w:val="0"/>
                <w:sz w:val="20"/>
                <w:szCs w:val="20"/>
                <w:shd w:val="clear" w:fill="FFFFFF"/>
                <w:lang w:val="en-US" w:eastAsia="zh-CN"/>
              </w:rPr>
              <w:t>6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2563EB"/>
                <w:spacing w:val="0"/>
                <w:sz w:val="20"/>
                <w:szCs w:val="20"/>
                <w:shd w:val="clear" w:fill="FFFFFF"/>
              </w:rPr>
              <w:t xml:space="preserve"> 组分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br w:type="textWrapping"/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10×Fixation Buffer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10×PBS </w:t>
            </w:r>
          </w:p>
          <w:p w14:paraId="60A0916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Reagent A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Reagent B  </w:t>
            </w:r>
          </w:p>
          <w:p w14:paraId="1B692D6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Reagent C </w:t>
            </w:r>
          </w:p>
          <w:p w14:paraId="67571619">
            <w:pPr>
              <w:rPr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X-Gal solution </w:t>
            </w:r>
          </w:p>
        </w:tc>
        <w:tc>
          <w:tcPr>
            <w:tcW w:w="3255" w:type="dxa"/>
          </w:tcPr>
          <w:p w14:paraId="7AACE02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</w:pP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D9488"/>
                <w:spacing w:val="0"/>
                <w:sz w:val="20"/>
                <w:szCs w:val="20"/>
                <w:shd w:val="clear" w:fill="FFFFFF"/>
                <w:lang w:val="en-US" w:eastAsia="zh-CN"/>
              </w:rPr>
              <w:t>5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D9488"/>
                <w:spacing w:val="0"/>
                <w:sz w:val="20"/>
                <w:szCs w:val="20"/>
                <w:shd w:val="clear" w:fill="FFFFFF"/>
              </w:rPr>
              <w:t xml:space="preserve"> 组分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br w:type="textWrapping"/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Fixation Buffer （即用）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Reagent A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>Reagent B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Reagent C </w:t>
            </w:r>
          </w:p>
          <w:p w14:paraId="61DFB416">
            <w:pPr>
              <w:rPr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</w:rPr>
              <w:t xml:space="preserve">X-Gal solution </w:t>
            </w:r>
          </w:p>
        </w:tc>
      </w:tr>
      <w:tr w14:paraId="5CBE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1516" w:type="dxa"/>
          </w:tcPr>
          <w:p w14:paraId="5CA6D30A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工作液配制便捷性</w:t>
            </w:r>
          </w:p>
        </w:tc>
        <w:tc>
          <w:tcPr>
            <w:tcW w:w="3210" w:type="dxa"/>
          </w:tcPr>
          <w:p w14:paraId="54D6FA91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2563EB"/>
                <w:spacing w:val="0"/>
                <w:sz w:val="20"/>
                <w:szCs w:val="20"/>
                <w:shd w:val="clear" w:fill="FFFFFF"/>
              </w:rPr>
              <w:t>5 组分 + 调 pH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t>A 10 µL + B 10 µL + C 10 µL + X-Gal 50 µL + 1×PBS 920 µL，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  <w:lang w:val="en-US" w:eastAsia="zh-CN"/>
              </w:rPr>
              <w:t>再用</w:t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  <w:lang w:val="en-US" w:eastAsia="zh-CN"/>
              </w:rPr>
              <w:t> NaOH 或 HCl 调至 pH 6.0</w:t>
            </w:r>
            <w:r>
              <w:rPr>
                <w:rStyle w:val="6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Style w:val="6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E8A317"/>
                <w:spacing w:val="23"/>
                <w:sz w:val="19"/>
                <w:szCs w:val="19"/>
                <w:shd w:val="clear" w:fill="FFFFFF"/>
              </w:rPr>
              <w:t>★★★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DDE2EA"/>
                <w:spacing w:val="23"/>
                <w:sz w:val="19"/>
                <w:szCs w:val="19"/>
                <w:shd w:val="clear" w:fill="FFFFFF"/>
              </w:rPr>
              <w:t>★★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  <w:lang w:val="en-US" w:eastAsia="zh-CN"/>
              </w:rPr>
              <w:t>相对麻烦</w:t>
            </w:r>
          </w:p>
        </w:tc>
        <w:tc>
          <w:tcPr>
            <w:tcW w:w="3255" w:type="dxa"/>
          </w:tcPr>
          <w:p w14:paraId="0676907F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D9488"/>
                <w:spacing w:val="0"/>
                <w:sz w:val="20"/>
                <w:szCs w:val="20"/>
                <w:shd w:val="clear" w:fill="FFFFFF"/>
              </w:rPr>
              <w:t>4 组分直接混匀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t>A 930 µL + B 10 µL + C 10 µL + X-Gal 50 µL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CFDFF"/>
                <w:lang w:val="en-US" w:eastAsia="zh-CN"/>
              </w:rPr>
              <w:t>无需调 pH、无需另加 PBS</w:t>
            </w:r>
            <w:r>
              <w:rPr>
                <w:rStyle w:val="6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Style w:val="6"/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E8A317"/>
                <w:spacing w:val="23"/>
                <w:sz w:val="19"/>
                <w:szCs w:val="19"/>
                <w:shd w:val="clear" w:fill="FFFFFF"/>
              </w:rPr>
              <w:t>★★★★★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  <w:lang w:val="en-US" w:eastAsia="zh-CN"/>
              </w:rPr>
              <w:t>相对方便</w:t>
            </w:r>
          </w:p>
        </w:tc>
      </w:tr>
      <w:tr w14:paraId="06FC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516" w:type="dxa"/>
          </w:tcPr>
          <w:p w14:paraId="43C5902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操作步骤</w:t>
            </w:r>
            <w:r>
              <w:rPr>
                <w:rFonts w:hint="eastAsia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vertAlign w:val="baseline"/>
                <w:lang w:val="en-US" w:eastAsia="zh-CN"/>
              </w:rPr>
              <w:t>便捷性</w:t>
            </w:r>
          </w:p>
        </w:tc>
        <w:tc>
          <w:tcPr>
            <w:tcW w:w="3210" w:type="dxa"/>
          </w:tcPr>
          <w:p w14:paraId="4789BDD0">
            <w:pPr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color w:val="2563EB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E8A317"/>
                <w:spacing w:val="23"/>
                <w:sz w:val="19"/>
                <w:szCs w:val="19"/>
                <w:shd w:val="clear" w:fill="FFFFFF"/>
              </w:rPr>
              <w:t>★★★★★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  <w:lang w:val="en-US" w:eastAsia="zh-CN"/>
              </w:rPr>
              <w:t>相对方便</w:t>
            </w: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118110</wp:posOffset>
                  </wp:positionV>
                  <wp:extent cx="2039620" cy="3347720"/>
                  <wp:effectExtent l="0" t="0" r="17780" b="508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620" cy="334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55" w:type="dxa"/>
          </w:tcPr>
          <w:p w14:paraId="060CD0CE">
            <w:pPr>
              <w:rPr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color w:val="0D9488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E8A317"/>
                <w:spacing w:val="23"/>
                <w:sz w:val="19"/>
                <w:szCs w:val="19"/>
                <w:shd w:val="clear" w:fill="FFFFFF"/>
              </w:rPr>
              <w:t>★★★★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DDE2EA"/>
                <w:spacing w:val="23"/>
                <w:sz w:val="19"/>
                <w:szCs w:val="19"/>
                <w:shd w:val="clear" w:fill="FFFFFF"/>
              </w:rPr>
              <w:t>★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111827"/>
                <w:spacing w:val="0"/>
                <w:sz w:val="20"/>
                <w:szCs w:val="20"/>
                <w:shd w:val="clear" w:fill="FFFFFF"/>
                <w:lang w:val="en-US" w:eastAsia="zh-CN"/>
              </w:rPr>
              <w:t>相对麻烦</w:t>
            </w: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104775</wp:posOffset>
                  </wp:positionV>
                  <wp:extent cx="2054860" cy="3383915"/>
                  <wp:effectExtent l="0" t="0" r="2540" b="6985"/>
                  <wp:wrapSquare wrapText="bothSides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0" cy="338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9FDFE7D">
      <w:pPr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18"/>
          <w:szCs w:val="1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4659E"/>
    <w:rsid w:val="3D14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2026-10-28T09:08:00Z</dcterms:created>
  <dc:creator>起点</dc:creator>
  <cp:lastModifiedBy>起点</cp:lastModifiedBy>
  <dcterms:modified xsi:type="dcterms:W3CDTF">2026-10-28T09:09:28Z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EC48F163875F483695043EB54127196B_11</vt:lpwstr>
  </property>
  <property fmtid="{D5CDD505-2E9C-101B-9397-08002B2CF9AE}" pid="4" name="KSOTemplateDocerSaveRecord">
    <vt:lpwstr>eyJoZGlkIjoiOTZlYmQ1MDhiMTE2YjZjNGU5YTU3ODAxNGJjNGUyZDkiLCJ1c2VySWQiOiI2Mzg5MzM5MDYifQ==</vt:lpwstr>
  </property>
</Properties>
</file>